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800"/>
        <w:jc w:val="center"/>
      </w:pPr>
      <w:r>
        <w:rPr>
          <w:rFonts w:ascii="Aptos Display" w:hAnsi="Aptos Display"/>
          <w:b/>
          <w:color w:val="16324F"/>
          <w:sz w:val="68"/>
        </w:rPr>
        <w:t>IT TAKES A VILLAGE!</w:t>
      </w:r>
    </w:p>
    <w:p>
      <w:pPr>
        <w:jc w:val="center"/>
      </w:pPr>
      <w:r>
        <w:rPr>
          <w:b/>
          <w:color w:val="365E4C"/>
          <w:sz w:val="32"/>
        </w:rPr>
        <w:t>Website Story &amp; Public-Facing Philosophy</w:t>
      </w:r>
    </w:p>
    <w:p>
      <w:pPr>
        <w:spacing w:before="320"/>
        <w:jc w:val="center"/>
      </w:pPr>
      <w:r>
        <w:rPr>
          <w:b/>
          <w:color w:val="C6922E"/>
          <w:sz w:val="26"/>
        </w:rPr>
        <w:t>Baseball Resource Group</w:t>
      </w:r>
    </w:p>
    <w:p>
      <w:pPr>
        <w:spacing w:before="1160"/>
        <w:jc w:val="center"/>
      </w:pPr>
      <w:r>
        <w:rPr>
          <w:i/>
          <w:color w:val="16324F"/>
          <w:sz w:val="28"/>
        </w:rPr>
        <w:t>Baseball is the vehicle. Youth development is the purpose. Community is the strength.</w:t>
      </w:r>
    </w:p>
    <w:p>
      <w:r>
        <w:br w:type="page"/>
      </w:r>
    </w:p>
    <w:p>
      <w:pPr>
        <w:pStyle w:val="Heading1"/>
      </w:pPr>
      <w:r>
        <w:t>The Village Behind Every Player</w:t>
      </w:r>
    </w:p>
    <w:p>
      <w:r>
        <w:t xml:space="preserve">An African proverb teaches us, </w:t>
      </w:r>
      <w:r>
        <w:rPr>
          <w:b/>
          <w:color w:val="C6922E"/>
        </w:rPr>
        <w:t>“It takes a village to raise a child.”</w:t>
      </w:r>
    </w:p>
    <w:p>
      <w:r>
        <w:t>At Baseball Resource Group, we believe the same truth applies to youth baseball. It takes a village to develop a player - and, more importantly, to develop the young person inside the uniform.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10166"/>
            <w:shd w:fill="F4F1E8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r>
              <w:rPr>
                <w:b/>
                <w:color w:val="C6922E"/>
                <w:sz w:val="24"/>
              </w:rPr>
              <w:t>OUR BELIEF</w:t>
            </w:r>
          </w:p>
          <w:p>
            <w:pPr>
              <w:spacing w:after="0"/>
            </w:pPr>
            <w:r>
              <w:rPr>
                <w:color w:val="16324F"/>
                <w:sz w:val="22"/>
              </w:rPr>
              <w:t>No player develops alone. No coach builds alone. No family succeeds alone. When a community shares responsibility for young people, opportunity grows.</w:t>
            </w:r>
          </w:p>
        </w:tc>
      </w:tr>
    </w:tbl>
    <w:p>
      <w:pPr>
        <w:pStyle w:val="Heading2"/>
      </w:pPr>
      <w:r>
        <w:t>What Is the BRG Village?</w:t>
      </w:r>
    </w:p>
    <w:p>
      <w:r>
        <w:t>The BRG Village is the complete community surrounding a young athlete: players, parents, families, coaches, mentors, staff, volunteers, schools, municipalities, local businesses, sponsors, donors, officials, alumni, and community leaders. Each has a different role. All share one responsibility: help young people learn, play, grow, lead, and eventually give back.</w:t>
      </w:r>
    </w:p>
    <w:p>
      <w:pPr>
        <w:pStyle w:val="Heading2"/>
      </w:pPr>
      <w:r>
        <w:t>Baseball Is Our Vehicle</w:t>
      </w:r>
    </w:p>
    <w:p>
      <w:r>
        <w:t>Baseball gives us a field on which to teach lessons that last far beyond the final out: discipline, teamwork, resilience, accountability, respect, preparation, leadership, service, and the value of belonging to something larger than yourself.</w:t>
      </w:r>
    </w:p>
    <w:p>
      <w:pPr>
        <w:pStyle w:val="Heading2"/>
      </w:pPr>
      <w:r>
        <w:t>Everyone Has a Place in the Village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52"/>
        <w:gridCol w:w="6696"/>
      </w:tblGrid>
      <w:tr>
        <w:tc>
          <w:tcPr>
            <w:tcW w:type="dxa" w:w="5083"/>
            <w:shd w:fill="16324F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b/>
                <w:color w:val="FFFFFF"/>
                <w:sz w:val="21"/>
              </w:rPr>
              <w:t>Village Citizen</w:t>
            </w:r>
          </w:p>
        </w:tc>
        <w:tc>
          <w:tcPr>
            <w:tcW w:type="dxa" w:w="5083"/>
            <w:shd w:fill="16324F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b/>
                <w:color w:val="FFFFFF"/>
                <w:sz w:val="21"/>
              </w:rPr>
              <w:t>How They Contribute</w:t>
            </w:r>
          </w:p>
        </w:tc>
      </w:tr>
      <w:tr>
        <w:tc>
          <w:tcPr>
            <w:tcW w:type="dxa" w:w="29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b/>
                <w:color w:val="16324F"/>
                <w:sz w:val="20"/>
              </w:rPr>
              <w:t>Players</w:t>
            </w:r>
          </w:p>
        </w:tc>
        <w:tc>
          <w:tcPr>
            <w:tcW w:type="dxa" w:w="669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b w:val="0"/>
                <w:color w:val="2B343B"/>
                <w:sz w:val="20"/>
              </w:rPr>
              <w:t>Learn, compete, respect the game, represent the Village, and grow into leaders.</w:t>
            </w:r>
          </w:p>
        </w:tc>
      </w:tr>
      <w:tr>
        <w:tc>
          <w:tcPr>
            <w:tcW w:type="dxa" w:w="29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b/>
                <w:color w:val="16324F"/>
                <w:sz w:val="20"/>
              </w:rPr>
              <w:t>Parents &amp; Families</w:t>
            </w:r>
          </w:p>
        </w:tc>
        <w:tc>
          <w:tcPr>
            <w:tcW w:type="dxa" w:w="669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b w:val="0"/>
                <w:color w:val="2B343B"/>
                <w:sz w:val="20"/>
              </w:rPr>
              <w:t>Create the foundation: encourage, communicate, model sportsmanship, and support the team and program.</w:t>
            </w:r>
          </w:p>
        </w:tc>
      </w:tr>
      <w:tr>
        <w:tc>
          <w:tcPr>
            <w:tcW w:type="dxa" w:w="29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b/>
                <w:color w:val="16324F"/>
                <w:sz w:val="20"/>
              </w:rPr>
              <w:t>Coaches &amp; Mentors</w:t>
            </w:r>
          </w:p>
        </w:tc>
        <w:tc>
          <w:tcPr>
            <w:tcW w:type="dxa" w:w="669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b w:val="0"/>
                <w:color w:val="2B343B"/>
                <w:sz w:val="20"/>
              </w:rPr>
              <w:t>Develop the person as well as the player. Teach the game, character, accountability, and leadership.</w:t>
            </w:r>
          </w:p>
        </w:tc>
      </w:tr>
      <w:tr>
        <w:tc>
          <w:tcPr>
            <w:tcW w:type="dxa" w:w="29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b/>
                <w:color w:val="16324F"/>
                <w:sz w:val="20"/>
              </w:rPr>
              <w:t>BRG Staff</w:t>
            </w:r>
          </w:p>
        </w:tc>
        <w:tc>
          <w:tcPr>
            <w:tcW w:type="dxa" w:w="669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b w:val="0"/>
                <w:color w:val="2B343B"/>
                <w:sz w:val="20"/>
              </w:rPr>
              <w:t>Protect the culture, create access, uphold standards, connect resources, and keep the mission at the center.</w:t>
            </w:r>
          </w:p>
        </w:tc>
      </w:tr>
      <w:tr>
        <w:tc>
          <w:tcPr>
            <w:tcW w:type="dxa" w:w="29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b/>
                <w:color w:val="16324F"/>
                <w:sz w:val="20"/>
              </w:rPr>
              <w:t>Volunteers</w:t>
            </w:r>
          </w:p>
        </w:tc>
        <w:tc>
          <w:tcPr>
            <w:tcW w:type="dxa" w:w="669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b w:val="0"/>
                <w:color w:val="2B343B"/>
                <w:sz w:val="20"/>
              </w:rPr>
              <w:t>Give time, talent, encouragement, and service wherever the Village needs help.</w:t>
            </w:r>
          </w:p>
        </w:tc>
      </w:tr>
      <w:tr>
        <w:tc>
          <w:tcPr>
            <w:tcW w:type="dxa" w:w="29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b/>
                <w:color w:val="16324F"/>
                <w:sz w:val="20"/>
              </w:rPr>
              <w:t>Schools &amp; Educators</w:t>
            </w:r>
          </w:p>
        </w:tc>
        <w:tc>
          <w:tcPr>
            <w:tcW w:type="dxa" w:w="669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b w:val="0"/>
                <w:color w:val="2B343B"/>
                <w:sz w:val="20"/>
              </w:rPr>
              <w:t>Connect academics, athletics, character, and pathways to future opportunity.</w:t>
            </w:r>
          </w:p>
        </w:tc>
      </w:tr>
      <w:tr>
        <w:tc>
          <w:tcPr>
            <w:tcW w:type="dxa" w:w="29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b/>
                <w:color w:val="16324F"/>
                <w:sz w:val="20"/>
              </w:rPr>
              <w:t>Municipalities</w:t>
            </w:r>
          </w:p>
        </w:tc>
        <w:tc>
          <w:tcPr>
            <w:tcW w:type="dxa" w:w="669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b w:val="0"/>
                <w:color w:val="2B343B"/>
                <w:sz w:val="20"/>
              </w:rPr>
              <w:t>Help provide safe, accessible places where young people can play and communities can gather.</w:t>
            </w:r>
          </w:p>
        </w:tc>
      </w:tr>
      <w:tr>
        <w:tc>
          <w:tcPr>
            <w:tcW w:type="dxa" w:w="29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b/>
                <w:color w:val="16324F"/>
                <w:sz w:val="20"/>
              </w:rPr>
              <w:t>Businesses, Sponsors &amp; Donors</w:t>
            </w:r>
          </w:p>
        </w:tc>
        <w:tc>
          <w:tcPr>
            <w:tcW w:type="dxa" w:w="669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b w:val="0"/>
                <w:color w:val="2B343B"/>
                <w:sz w:val="20"/>
              </w:rPr>
              <w:t>Invest money, services, equipment, jobs, internships, mentorship, meals, transportation, and opportunity.</w:t>
            </w:r>
          </w:p>
        </w:tc>
      </w:tr>
      <w:tr>
        <w:tc>
          <w:tcPr>
            <w:tcW w:type="dxa" w:w="29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b/>
                <w:color w:val="16324F"/>
                <w:sz w:val="20"/>
              </w:rPr>
              <w:t>Alumni &amp; Community Leaders</w:t>
            </w:r>
          </w:p>
        </w:tc>
        <w:tc>
          <w:tcPr>
            <w:tcW w:type="dxa" w:w="669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/>
            <w:r>
              <w:rPr>
                <w:b w:val="0"/>
                <w:color w:val="2B343B"/>
                <w:sz w:val="20"/>
              </w:rPr>
              <w:t>Return, mentor, advocate, connect, and help build the next generation of the Village.</w:t>
            </w:r>
          </w:p>
        </w:tc>
      </w:tr>
    </w:tbl>
    <w:p>
      <w:pPr>
        <w:pStyle w:val="Heading2"/>
      </w:pPr>
      <w:r>
        <w:t>The Five Responsibilities of Every Village Citizen</w:t>
      </w:r>
    </w:p>
    <w:p>
      <w:r>
        <w:rPr>
          <w:b/>
          <w:color w:val="C6922E"/>
        </w:rPr>
        <w:t xml:space="preserve">SHOW UP - </w:t>
      </w:r>
      <w:r>
        <w:t>Be present. Young people remember who was there.</w:t>
      </w:r>
    </w:p>
    <w:p>
      <w:r>
        <w:rPr>
          <w:b/>
          <w:color w:val="C6922E"/>
        </w:rPr>
        <w:t xml:space="preserve">GIVE - </w:t>
      </w:r>
      <w:r>
        <w:t>Offer what you can - time, knowledge, resources, equipment, connections, encouragement, or financial support.</w:t>
      </w:r>
    </w:p>
    <w:p>
      <w:r>
        <w:rPr>
          <w:b/>
          <w:color w:val="C6922E"/>
        </w:rPr>
        <w:t xml:space="preserve">TEACH - </w:t>
      </w:r>
      <w:r>
        <w:t>Pass along baseball knowledge, life experience, education, professional skills, and wisdom.</w:t>
      </w:r>
    </w:p>
    <w:p>
      <w:r>
        <w:rPr>
          <w:b/>
          <w:color w:val="C6922E"/>
        </w:rPr>
        <w:t xml:space="preserve">SUPPORT - </w:t>
      </w:r>
      <w:r>
        <w:t>Strengthen players, families, coaches, teams, and the organizations serving them.</w:t>
      </w:r>
    </w:p>
    <w:p>
      <w:r>
        <w:rPr>
          <w:b/>
          <w:color w:val="C6922E"/>
        </w:rPr>
        <w:t xml:space="preserve">BUILD - </w:t>
      </w:r>
      <w:r>
        <w:t>Leave something stronger for the next generation than what you inherited.</w:t>
      </w:r>
    </w:p>
    <w:p>
      <w:pPr>
        <w:pStyle w:val="Heading2"/>
      </w:pPr>
      <w:r>
        <w:t>Our Village Covenant</w:t>
      </w:r>
    </w:p>
    <w:p>
      <w:pPr>
        <w:pStyle w:val="ListBullet"/>
      </w:pPr>
      <w:r>
        <w:t>Every young person deserves an opportunity to belong.</w:t>
      </w:r>
    </w:p>
    <w:p>
      <w:pPr>
        <w:pStyle w:val="ListBullet"/>
      </w:pPr>
      <w:r>
        <w:t>Baseball is bigger than wins and losses.</w:t>
      </w:r>
    </w:p>
    <w:p>
      <w:pPr>
        <w:pStyle w:val="ListBullet"/>
      </w:pPr>
      <w:r>
        <w:t>Character matters more than statistics.</w:t>
      </w:r>
    </w:p>
    <w:p>
      <w:pPr>
        <w:pStyle w:val="ListBullet"/>
      </w:pPr>
      <w:r>
        <w:t>Education and personal development come before athletics.</w:t>
      </w:r>
    </w:p>
    <w:p>
      <w:pPr>
        <w:pStyle w:val="ListBullet"/>
      </w:pPr>
      <w:r>
        <w:t>Adults are responsible for the environment we create for children.</w:t>
      </w:r>
    </w:p>
    <w:p>
      <w:pPr>
        <w:pStyle w:val="ListBullet"/>
      </w:pPr>
      <w:r>
        <w:t>Competition and sportsmanship can coexist.</w:t>
      </w:r>
    </w:p>
    <w:p>
      <w:pPr>
        <w:pStyle w:val="ListBullet"/>
      </w:pPr>
      <w:r>
        <w:t>We respect teammates, opponents, officials, families, and communities.</w:t>
      </w:r>
    </w:p>
    <w:p>
      <w:pPr>
        <w:pStyle w:val="ListBullet"/>
      </w:pPr>
      <w:r>
        <w:t>Those who have knowledge should teach.</w:t>
      </w:r>
    </w:p>
    <w:p>
      <w:pPr>
        <w:pStyle w:val="ListBullet"/>
      </w:pPr>
      <w:r>
        <w:t>Those who have resources should help.</w:t>
      </w:r>
    </w:p>
    <w:p>
      <w:pPr>
        <w:pStyle w:val="ListBullet"/>
      </w:pPr>
      <w:r>
        <w:t>Those who have influence should open doors.</w:t>
      </w:r>
    </w:p>
    <w:p>
      <w:pPr>
        <w:pStyle w:val="ListBullet"/>
      </w:pPr>
      <w:r>
        <w:t>Those who receive opportunity should eventually create opportunity for someone else.</w:t>
      </w:r>
    </w:p>
    <w:p>
      <w:pPr>
        <w:pStyle w:val="ListBullet"/>
      </w:pPr>
      <w:r>
        <w:t>We leave the Village stronger than we found it.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10166"/>
            <w:shd w:fill="F4F1E8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r>
              <w:rPr>
                <w:b/>
                <w:color w:val="C6922E"/>
                <w:sz w:val="24"/>
              </w:rPr>
              <w:t>THE CYCLE OF THE VILLAGE</w:t>
            </w:r>
          </w:p>
          <w:p>
            <w:pPr>
              <w:spacing w:after="0"/>
            </w:pPr>
            <w:r>
              <w:rPr>
                <w:color w:val="16324F"/>
                <w:sz w:val="22"/>
              </w:rPr>
              <w:t>Player -&gt; Leader -&gt; Mentor -&gt; Coach -&gt; Volunteer -&gt; Partner -&gt; Village Builder -&gt; Next Generation</w:t>
            </w:r>
          </w:p>
        </w:tc>
      </w:tr>
    </w:tbl>
    <w:p>
      <w:pPr>
        <w:pStyle w:val="Heading2"/>
      </w:pPr>
      <w:r>
        <w:t>Join the Village</w:t>
      </w:r>
    </w:p>
    <w:p>
      <w:r>
        <w:t>You do not have to play baseball to make a difference in baseball. Coach. Volunteer. Sponsor a player. Provide a meal. Offer an internship. Help improve a field. Mentor a young person. Open a professional door. Bring your expertise. Invite someone else into the Village.</w:t>
      </w:r>
    </w:p>
    <w:p>
      <w:pPr>
        <w:spacing w:before="240"/>
        <w:jc w:val="center"/>
      </w:pPr>
      <w:r>
        <w:rPr>
          <w:b/>
          <w:color w:val="16324F"/>
          <w:sz w:val="32"/>
        </w:rPr>
        <w:t>SHOW UP. GIVE. TEACH. SUPPORT. BUILD.</w:t>
      </w:r>
    </w:p>
    <w:p>
      <w:pPr>
        <w:jc w:val="center"/>
      </w:pPr>
      <w:r>
        <w:rPr>
          <w:b/>
          <w:color w:val="C6922E"/>
          <w:sz w:val="40"/>
        </w:rPr>
        <w:t>IT TAKES A VILLAGE!</w:t>
      </w:r>
    </w:p>
    <w:sectPr w:rsidR="00FC693F" w:rsidRPr="0006063C" w:rsidSect="00034616">
      <w:footerReference w:type="default" r:id="rId9"/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D6770"/>
        <w:sz w:val="16"/>
      </w:rPr>
      <w:t>Baseball Resource Group | It Takes a Village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ptos" w:hAnsi="Aptos"/>
      <w:color w:val="2B343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6324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365E4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/>
      <w:b/>
      <w:bCs/>
      <w:color w:val="C6922E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6324F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