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TMHA &amp; TCC Annual Bursary Guidelines </w:t>
      </w:r>
    </w:p>
    <w:p w:rsidR="00000000" w:rsidDel="00000000" w:rsidP="00000000" w:rsidRDefault="00000000" w:rsidRPr="00000000" w14:paraId="00000002">
      <w:pPr>
        <w:spacing w:after="136" w:line="259" w:lineRule="auto"/>
        <w:ind w:left="0" w:right="0"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03">
      <w:pPr>
        <w:spacing w:after="188" w:lineRule="auto"/>
        <w:ind w:right="0"/>
        <w:rPr/>
      </w:pPr>
      <w:r w:rsidDel="00000000" w:rsidR="00000000" w:rsidRPr="00000000">
        <w:rPr>
          <w:rtl w:val="0"/>
        </w:rPr>
        <w:t xml:space="preserve">One bursary of $500.00 will be offered annually as a joint effort between Tri-County Minor Hockey Association and Tri-County Complex.  This bursary will be offered to students who are proceeding to a full program of studies in any field whether academic or vocational. </w:t>
      </w:r>
    </w:p>
    <w:p w:rsidR="00000000" w:rsidDel="00000000" w:rsidP="00000000" w:rsidRDefault="00000000" w:rsidRPr="00000000" w14:paraId="00000004">
      <w:pPr>
        <w:spacing w:after="0" w:line="259" w:lineRule="auto"/>
        <w:ind w:right="0"/>
        <w:jc w:val="left"/>
        <w:rPr/>
      </w:pPr>
      <w:r w:rsidDel="00000000" w:rsidR="00000000" w:rsidRPr="00000000">
        <w:rPr>
          <w:rtl w:val="0"/>
        </w:rPr>
        <w:t xml:space="preserve">To be eligible students </w:t>
      </w:r>
      <w:r w:rsidDel="00000000" w:rsidR="00000000" w:rsidRPr="00000000">
        <w:rPr>
          <w:u w:val="single"/>
          <w:rtl w:val="0"/>
        </w:rPr>
        <w:t xml:space="preserve">must be in Grade 12 and meet </w:t>
      </w:r>
      <w:r w:rsidDel="00000000" w:rsidR="00000000" w:rsidRPr="00000000">
        <w:rPr>
          <w:b w:val="1"/>
          <w:bCs w:val="1"/>
          <w:u w:val="single"/>
          <w:rtl w:val="0"/>
        </w:rPr>
        <w:t xml:space="preserve">one</w:t>
      </w:r>
      <w:r w:rsidDel="00000000" w:rsidR="00000000" w:rsidRPr="00000000">
        <w:rPr>
          <w:u w:val="single"/>
          <w:rtl w:val="0"/>
        </w:rPr>
        <w:t xml:space="preserve"> of the following three criteria</w:t>
      </w:r>
      <w:r w:rsidDel="00000000" w:rsidR="00000000" w:rsidRPr="00000000">
        <w:rPr>
          <w:rtl w:val="0"/>
        </w:rPr>
        <w:t xml:space="preserve">: </w:t>
      </w:r>
    </w:p>
    <w:p w:rsidR="00000000" w:rsidDel="00000000" w:rsidP="00000000" w:rsidRDefault="00000000" w:rsidRPr="00000000" w14:paraId="00000005">
      <w:pPr>
        <w:spacing w:after="236" w:lineRule="auto"/>
        <w:ind w:right="0"/>
        <w:rPr/>
      </w:pPr>
      <w:r w:rsidDel="00000000" w:rsidR="00000000" w:rsidRPr="00000000">
        <w:rPr>
          <w:rtl w:val="0"/>
        </w:rPr>
        <w:t xml:space="preserve">-Registered and playing on a TMHA team </w:t>
      </w:r>
    </w:p>
    <w:p w:rsidR="00000000" w:rsidDel="00000000" w:rsidP="00000000" w:rsidRDefault="00000000" w:rsidRPr="00000000" w14:paraId="00000006">
      <w:pPr>
        <w:spacing w:after="156" w:lineRule="auto"/>
        <w:ind w:left="371" w:right="0" w:firstLine="0"/>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Arial" w:cs="Arial" w:eastAsia="Arial" w:hAnsi="Arial"/>
          <w:rtl w:val="0"/>
        </w:rPr>
        <w:t xml:space="preserve"> </w:t>
      </w:r>
      <w:r w:rsidDel="00000000" w:rsidR="00000000" w:rsidRPr="00000000">
        <w:rPr>
          <w:rtl w:val="0"/>
        </w:rPr>
        <w:t xml:space="preserve">-Officiating on a regular basis for TMHA U18 </w:t>
      </w:r>
    </w:p>
    <w:p w:rsidR="00000000" w:rsidDel="00000000" w:rsidP="00000000" w:rsidRDefault="00000000" w:rsidRPr="00000000" w14:paraId="00000007">
      <w:pPr>
        <w:ind w:right="0"/>
        <w:rPr/>
      </w:pPr>
      <w:r w:rsidDel="00000000" w:rsidR="00000000" w:rsidRPr="00000000">
        <w:rPr>
          <w:rtl w:val="0"/>
        </w:rPr>
        <w:t xml:space="preserve">-Rostered as a TMHA bench official </w:t>
      </w:r>
    </w:p>
    <w:p w:rsidR="00000000" w:rsidDel="00000000" w:rsidP="00000000" w:rsidRDefault="00000000" w:rsidRPr="00000000" w14:paraId="00000008">
      <w:pPr>
        <w:spacing w:after="192" w:lineRule="auto"/>
        <w:ind w:right="0"/>
        <w:rPr/>
      </w:pPr>
      <w:r w:rsidDel="00000000" w:rsidR="00000000" w:rsidRPr="00000000">
        <w:rPr>
          <w:rtl w:val="0"/>
        </w:rPr>
        <w:t xml:space="preserve">To apply for this bursary please submit the following to TMHA Chair Curtis Rossignol no later than </w:t>
      </w:r>
      <w:r w:rsidDel="00000000" w:rsidR="00000000" w:rsidRPr="00000000">
        <w:rPr>
          <w:b w:val="1"/>
          <w:bCs w:val="1"/>
          <w:u w:val="single"/>
          <w:rtl w:val="0"/>
        </w:rPr>
        <w:t xml:space="preserve">March 30, 2026</w:t>
      </w:r>
      <w:r w:rsidDel="00000000" w:rsidR="00000000" w:rsidRPr="00000000">
        <w:rPr>
          <w:rtl w:val="0"/>
        </w:rPr>
      </w:r>
    </w:p>
    <w:p w:rsidR="00000000" w:rsidDel="00000000" w:rsidP="00000000" w:rsidRDefault="00000000" w:rsidRPr="00000000" w14:paraId="00000009">
      <w:pPr>
        <w:spacing w:after="174" w:line="259" w:lineRule="auto"/>
        <w:ind w:left="0"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A">
      <w:pPr>
        <w:spacing w:after="211" w:line="259" w:lineRule="auto"/>
        <w:ind w:right="0"/>
        <w:jc w:val="left"/>
        <w:rPr/>
      </w:pPr>
      <w:r w:rsidDel="00000000" w:rsidR="00000000" w:rsidRPr="00000000">
        <w:rPr>
          <w:u w:val="single"/>
          <w:rtl w:val="0"/>
        </w:rPr>
        <w:t xml:space="preserve">Criteria to be met by each applicant:</w:t>
      </w:r>
      <w:r w:rsidDel="00000000" w:rsidR="00000000" w:rsidRPr="00000000">
        <w:rPr>
          <w:rtl w:val="0"/>
        </w:rPr>
        <w:t xml:space="preserve"> </w:t>
      </w:r>
    </w:p>
    <w:p w:rsidR="00000000" w:rsidDel="00000000" w:rsidP="00000000" w:rsidRDefault="00000000" w:rsidRPr="00000000" w14:paraId="0000000B">
      <w:pPr>
        <w:numPr>
          <w:ilvl w:val="0"/>
          <w:numId w:val="1"/>
        </w:numPr>
        <w:ind w:left="721" w:right="0" w:hanging="360"/>
        <w:rPr/>
      </w:pPr>
      <w:r w:rsidDel="00000000" w:rsidR="00000000" w:rsidRPr="00000000">
        <w:rPr>
          <w:rtl w:val="0"/>
        </w:rPr>
        <w:t xml:space="preserve">Students must be graduating from Grade 12 and heading into a full-time academic or vocational program. </w:t>
      </w:r>
    </w:p>
    <w:p w:rsidR="00000000" w:rsidDel="00000000" w:rsidP="00000000" w:rsidRDefault="00000000" w:rsidRPr="00000000" w14:paraId="0000000C">
      <w:pPr>
        <w:numPr>
          <w:ilvl w:val="0"/>
          <w:numId w:val="1"/>
        </w:numPr>
        <w:ind w:left="721" w:right="0" w:hanging="360"/>
        <w:rPr/>
      </w:pPr>
      <w:r w:rsidDel="00000000" w:rsidR="00000000" w:rsidRPr="00000000">
        <w:rPr>
          <w:rtl w:val="0"/>
        </w:rPr>
        <w:t xml:space="preserve">Students must submit a statement of approximately 300 words describing his/her academic or vocational plans including the cost of training as well as describe any volunteer involvement with TMHA, TCC or other community programs outside of hockey. </w:t>
      </w:r>
    </w:p>
    <w:p w:rsidR="00000000" w:rsidDel="00000000" w:rsidP="00000000" w:rsidRDefault="00000000" w:rsidRPr="00000000" w14:paraId="0000000D">
      <w:pPr>
        <w:numPr>
          <w:ilvl w:val="0"/>
          <w:numId w:val="1"/>
        </w:numPr>
        <w:ind w:left="721" w:right="0" w:hanging="360"/>
        <w:rPr/>
      </w:pPr>
      <w:r w:rsidDel="00000000" w:rsidR="00000000" w:rsidRPr="00000000">
        <w:rPr>
          <w:rtl w:val="0"/>
        </w:rPr>
        <w:t xml:space="preserve">Students must submit a copy of their Grade 11 grades and their most current grades for Grade 12.  </w:t>
      </w:r>
    </w:p>
    <w:p w:rsidR="00000000" w:rsidDel="00000000" w:rsidP="00000000" w:rsidRDefault="00000000" w:rsidRPr="00000000" w14:paraId="0000000E">
      <w:pPr>
        <w:numPr>
          <w:ilvl w:val="0"/>
          <w:numId w:val="1"/>
        </w:numPr>
        <w:spacing w:after="188" w:lineRule="auto"/>
        <w:ind w:left="721" w:right="0" w:hanging="360"/>
        <w:rPr/>
      </w:pPr>
      <w:r w:rsidDel="00000000" w:rsidR="00000000" w:rsidRPr="00000000">
        <w:rPr>
          <w:rtl w:val="0"/>
        </w:rPr>
        <w:t xml:space="preserve">Students must submit a name and phone number from a former or current coach, assistant coach or team official willing to give a recommendation detailing positive attitude and sportsmanship.  </w:t>
      </w:r>
    </w:p>
    <w:p w:rsidR="00000000" w:rsidDel="00000000" w:rsidP="00000000" w:rsidRDefault="00000000" w:rsidRPr="00000000" w14:paraId="0000000F">
      <w:pPr>
        <w:spacing w:after="188" w:lineRule="auto"/>
        <w:ind w:right="0"/>
        <w:rPr/>
      </w:pPr>
      <w:r w:rsidDel="00000000" w:rsidR="00000000" w:rsidRPr="00000000">
        <w:rPr>
          <w:rtl w:val="0"/>
        </w:rPr>
        <w:t xml:space="preserve">The successful applicant will be announced at the annual TMHA banquet and monies will be forwarded to the approved post-secondary institution upon verification of registration.  Be sure to include your full name, address and phone number on your application. </w:t>
      </w:r>
    </w:p>
    <w:p w:rsidR="00000000" w:rsidDel="00000000" w:rsidP="00000000" w:rsidRDefault="00000000" w:rsidRPr="00000000" w14:paraId="00000010">
      <w:pPr>
        <w:spacing w:after="174"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1">
      <w:pPr>
        <w:spacing w:after="193" w:lineRule="auto"/>
        <w:ind w:right="0"/>
        <w:rPr/>
      </w:pPr>
      <w:r w:rsidDel="00000000" w:rsidR="00000000" w:rsidRPr="00000000">
        <w:rPr>
          <w:rtl w:val="0"/>
        </w:rPr>
        <w:t xml:space="preserve">Questions?  Contact TMHA Chair Curtis Rossignol at </w:t>
      </w:r>
      <w:r w:rsidDel="00000000" w:rsidR="00000000" w:rsidRPr="00000000">
        <w:rPr>
          <w:color w:val="0000ff"/>
          <w:u w:val="single"/>
          <w:rtl w:val="0"/>
        </w:rPr>
        <w:t xml:space="preserve">tmhachair@gmail.com</w:t>
      </w:r>
      <w:r w:rsidDel="00000000" w:rsidR="00000000" w:rsidRPr="00000000">
        <w:rPr>
          <w:rtl w:val="0"/>
        </w:rPr>
        <w:t xml:space="preserve"> or TCC Allan  Pollard at </w:t>
      </w:r>
      <w:r w:rsidDel="00000000" w:rsidR="00000000" w:rsidRPr="00000000">
        <w:rPr>
          <w:color w:val="0000ff"/>
          <w:u w:val="single"/>
          <w:rtl w:val="0"/>
        </w:rPr>
        <w:t xml:space="preserve">info@tri-countycomplex.ca</w:t>
      </w:r>
      <w:r w:rsidDel="00000000" w:rsidR="00000000" w:rsidRPr="00000000">
        <w:rPr>
          <w:rtl w:val="0"/>
        </w:rPr>
        <w:t xml:space="preserve"> </w:t>
      </w:r>
    </w:p>
    <w:p w:rsidR="00000000" w:rsidDel="00000000" w:rsidP="00000000" w:rsidRDefault="00000000" w:rsidRPr="00000000" w14:paraId="00000012">
      <w:pPr>
        <w:spacing w:after="209"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3">
      <w:pPr>
        <w:spacing w:after="0" w:line="383" w:lineRule="auto"/>
        <w:ind w:left="0" w:right="9305"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14">
      <w:pPr>
        <w:spacing w:after="0" w:line="259" w:lineRule="auto"/>
        <w:ind w:left="721"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15">
      <w:pPr>
        <w:spacing w:after="0" w:line="259" w:lineRule="auto"/>
        <w:ind w:left="721"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16">
      <w:pPr>
        <w:spacing w:after="171" w:line="259" w:lineRule="auto"/>
        <w:ind w:left="779" w:right="0" w:firstLine="0"/>
        <w:jc w:val="center"/>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17">
      <w:pPr>
        <w:pStyle w:val="Heading1"/>
        <w:ind w:right="16"/>
        <w:rPr/>
      </w:pPr>
      <w:r w:rsidDel="00000000" w:rsidR="00000000" w:rsidRPr="00000000">
        <w:rPr>
          <w:rtl w:val="0"/>
        </w:rPr>
        <w:t xml:space="preserve">Bursary Selection Process </w:t>
      </w:r>
    </w:p>
    <w:p w:rsidR="00000000" w:rsidDel="00000000" w:rsidP="00000000" w:rsidRDefault="00000000" w:rsidRPr="00000000" w14:paraId="00000018">
      <w:pPr>
        <w:spacing w:after="0" w:line="259" w:lineRule="auto"/>
        <w:ind w:left="779" w:right="0" w:firstLine="0"/>
        <w:jc w:val="center"/>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19">
      <w:pPr>
        <w:spacing w:after="0" w:line="259" w:lineRule="auto"/>
        <w:ind w:left="721" w:right="0"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1A">
      <w:pPr>
        <w:ind w:left="716" w:right="0" w:firstLine="0"/>
        <w:rPr/>
      </w:pPr>
      <w:r w:rsidDel="00000000" w:rsidR="00000000" w:rsidRPr="00000000">
        <w:rPr>
          <w:rtl w:val="0"/>
        </w:rPr>
        <w:t xml:space="preserve">Bursary committee will consist of 4 members – 2 from TMHA and 2 from TCC. </w:t>
      </w:r>
    </w:p>
    <w:p w:rsidR="00000000" w:rsidDel="00000000" w:rsidP="00000000" w:rsidRDefault="00000000" w:rsidRPr="00000000" w14:paraId="0000001B">
      <w:pPr>
        <w:spacing w:after="0" w:line="259" w:lineRule="auto"/>
        <w:ind w:left="721" w:right="0" w:firstLine="0"/>
        <w:jc w:val="left"/>
        <w:rPr/>
      </w:pPr>
      <w:r w:rsidDel="00000000" w:rsidR="00000000" w:rsidRPr="00000000">
        <w:rPr>
          <w:rtl w:val="0"/>
        </w:rPr>
        <w:t xml:space="preserve"> </w:t>
      </w:r>
    </w:p>
    <w:p w:rsidR="00000000" w:rsidDel="00000000" w:rsidP="00000000" w:rsidRDefault="00000000" w:rsidRPr="00000000" w14:paraId="0000001C">
      <w:pPr>
        <w:ind w:left="716" w:right="0" w:firstLine="0"/>
        <w:rPr/>
      </w:pPr>
      <w:r w:rsidDel="00000000" w:rsidR="00000000" w:rsidRPr="00000000">
        <w:rPr>
          <w:rtl w:val="0"/>
        </w:rPr>
        <w:t xml:space="preserve">Bursary will be awarded to the applicant who scores the highest on a 400 point scale. </w:t>
      </w:r>
    </w:p>
    <w:p w:rsidR="00000000" w:rsidDel="00000000" w:rsidP="00000000" w:rsidRDefault="00000000" w:rsidRPr="00000000" w14:paraId="0000001D">
      <w:pPr>
        <w:spacing w:after="0" w:line="259" w:lineRule="auto"/>
        <w:ind w:left="721" w:right="0" w:firstLine="0"/>
        <w:jc w:val="left"/>
        <w:rPr/>
      </w:pPr>
      <w:r w:rsidDel="00000000" w:rsidR="00000000" w:rsidRPr="00000000">
        <w:rPr>
          <w:rtl w:val="0"/>
        </w:rPr>
        <w:t xml:space="preserve"> </w:t>
      </w:r>
    </w:p>
    <w:p w:rsidR="00000000" w:rsidDel="00000000" w:rsidP="00000000" w:rsidRDefault="00000000" w:rsidRPr="00000000" w14:paraId="0000001E">
      <w:pPr>
        <w:ind w:left="716" w:right="0" w:firstLine="0"/>
        <w:rPr/>
      </w:pPr>
      <w:r w:rsidDel="00000000" w:rsidR="00000000" w:rsidRPr="00000000">
        <w:rPr>
          <w:rtl w:val="0"/>
        </w:rPr>
        <w:t xml:space="preserve">Points will be determined as follows: </w:t>
      </w:r>
    </w:p>
    <w:p w:rsidR="00000000" w:rsidDel="00000000" w:rsidP="00000000" w:rsidRDefault="00000000" w:rsidRPr="00000000" w14:paraId="0000001F">
      <w:pPr>
        <w:spacing w:after="0" w:line="259" w:lineRule="auto"/>
        <w:ind w:left="721" w:right="0" w:firstLine="0"/>
        <w:jc w:val="left"/>
        <w:rPr/>
      </w:pPr>
      <w:r w:rsidDel="00000000" w:rsidR="00000000" w:rsidRPr="00000000">
        <w:rPr>
          <w:rtl w:val="0"/>
        </w:rPr>
        <w:t xml:space="preserve"> </w:t>
      </w:r>
    </w:p>
    <w:p w:rsidR="00000000" w:rsidDel="00000000" w:rsidP="00000000" w:rsidRDefault="00000000" w:rsidRPr="00000000" w14:paraId="00000020">
      <w:pPr>
        <w:spacing w:after="0" w:line="259" w:lineRule="auto"/>
        <w:ind w:left="716" w:right="0" w:firstLine="0"/>
        <w:jc w:val="left"/>
        <w:rPr/>
      </w:pPr>
      <w:r w:rsidDel="00000000" w:rsidR="00000000" w:rsidRPr="00000000">
        <w:rPr>
          <w:rtl w:val="0"/>
        </w:rPr>
        <w:t xml:space="preserve">-</w:t>
      </w:r>
      <w:r w:rsidDel="00000000" w:rsidR="00000000" w:rsidRPr="00000000">
        <w:rPr>
          <w:u w:val="single"/>
          <w:rtl w:val="0"/>
        </w:rPr>
        <w:t xml:space="preserve">Student Statement</w:t>
      </w:r>
      <w:r w:rsidDel="00000000" w:rsidR="00000000" w:rsidRPr="00000000">
        <w:rPr>
          <w:rtl w:val="0"/>
        </w:rPr>
        <w:t xml:space="preserve"> </w:t>
      </w:r>
    </w:p>
    <w:p w:rsidR="00000000" w:rsidDel="00000000" w:rsidP="00000000" w:rsidRDefault="00000000" w:rsidRPr="00000000" w14:paraId="00000021">
      <w:pPr>
        <w:ind w:left="716" w:right="0" w:firstLine="0"/>
        <w:rPr/>
      </w:pPr>
      <w:r w:rsidDel="00000000" w:rsidR="00000000" w:rsidRPr="00000000">
        <w:rPr>
          <w:rtl w:val="0"/>
        </w:rPr>
        <w:t xml:space="preserve">Each member of the committee will read and score the statement based on a 50 point scale.  The description of their future plans will be count for 25 of the points and their level of volunteering will make up the other 25.  Each committee member’s score out of 50 will be added together to determine the total points for this section.  </w:t>
      </w:r>
    </w:p>
    <w:p w:rsidR="00000000" w:rsidDel="00000000" w:rsidP="00000000" w:rsidRDefault="00000000" w:rsidRPr="00000000" w14:paraId="00000022">
      <w:pPr>
        <w:pStyle w:val="Heading2"/>
        <w:ind w:left="716" w:firstLine="721"/>
        <w:rPr/>
      </w:pPr>
      <w:r w:rsidDel="00000000" w:rsidR="00000000" w:rsidRPr="00000000">
        <w:rPr>
          <w:rtl w:val="0"/>
        </w:rPr>
        <w:t xml:space="preserve">200 points maximum for this section – 50% of total score </w:t>
      </w:r>
    </w:p>
    <w:p w:rsidR="00000000" w:rsidDel="00000000" w:rsidP="00000000" w:rsidRDefault="00000000" w:rsidRPr="00000000" w14:paraId="00000023">
      <w:pPr>
        <w:spacing w:after="0" w:line="259" w:lineRule="auto"/>
        <w:ind w:left="721"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4">
      <w:pPr>
        <w:spacing w:after="0" w:line="259" w:lineRule="auto"/>
        <w:ind w:left="716" w:right="0" w:firstLine="0"/>
        <w:jc w:val="left"/>
        <w:rPr/>
      </w:pPr>
      <w:r w:rsidDel="00000000" w:rsidR="00000000" w:rsidRPr="00000000">
        <w:rPr>
          <w:rtl w:val="0"/>
        </w:rPr>
        <w:t xml:space="preserve">-</w:t>
      </w:r>
      <w:r w:rsidDel="00000000" w:rsidR="00000000" w:rsidRPr="00000000">
        <w:rPr>
          <w:u w:val="single"/>
          <w:rtl w:val="0"/>
        </w:rPr>
        <w:t xml:space="preserve">Grades</w:t>
      </w:r>
      <w:r w:rsidDel="00000000" w:rsidR="00000000" w:rsidRPr="00000000">
        <w:rPr>
          <w:rtl w:val="0"/>
        </w:rPr>
        <w:t xml:space="preserve"> </w:t>
      </w:r>
    </w:p>
    <w:p w:rsidR="00000000" w:rsidDel="00000000" w:rsidP="00000000" w:rsidRDefault="00000000" w:rsidRPr="00000000" w14:paraId="00000025">
      <w:pPr>
        <w:ind w:left="716" w:right="0" w:firstLine="0"/>
        <w:rPr/>
      </w:pPr>
      <w:r w:rsidDel="00000000" w:rsidR="00000000" w:rsidRPr="00000000">
        <w:rPr>
          <w:rtl w:val="0"/>
        </w:rPr>
        <w:t xml:space="preserve">The total average of the combined grade 11 and grade 12 marks will determine the points for this section </w:t>
      </w:r>
    </w:p>
    <w:p w:rsidR="00000000" w:rsidDel="00000000" w:rsidP="00000000" w:rsidRDefault="00000000" w:rsidRPr="00000000" w14:paraId="00000026">
      <w:pPr>
        <w:pStyle w:val="Heading2"/>
        <w:ind w:left="716" w:firstLine="721"/>
        <w:rPr/>
      </w:pPr>
      <w:r w:rsidDel="00000000" w:rsidR="00000000" w:rsidRPr="00000000">
        <w:rPr>
          <w:rtl w:val="0"/>
        </w:rPr>
        <w:t xml:space="preserve">100 points maximum for this section – 25% of total score </w:t>
      </w:r>
    </w:p>
    <w:p w:rsidR="00000000" w:rsidDel="00000000" w:rsidP="00000000" w:rsidRDefault="00000000" w:rsidRPr="00000000" w14:paraId="00000027">
      <w:pPr>
        <w:spacing w:after="0" w:line="259" w:lineRule="auto"/>
        <w:ind w:left="721"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8">
      <w:pPr>
        <w:spacing w:after="0" w:line="259" w:lineRule="auto"/>
        <w:ind w:left="716" w:right="0" w:firstLine="0"/>
        <w:jc w:val="left"/>
        <w:rPr/>
      </w:pPr>
      <w:r w:rsidDel="00000000" w:rsidR="00000000" w:rsidRPr="00000000">
        <w:rPr>
          <w:rtl w:val="0"/>
        </w:rPr>
        <w:t xml:space="preserve">-</w:t>
      </w:r>
      <w:r w:rsidDel="00000000" w:rsidR="00000000" w:rsidRPr="00000000">
        <w:rPr>
          <w:u w:val="single"/>
          <w:rtl w:val="0"/>
        </w:rPr>
        <w:t xml:space="preserve">Recommendation</w:t>
      </w:r>
      <w:r w:rsidDel="00000000" w:rsidR="00000000" w:rsidRPr="00000000">
        <w:rPr>
          <w:rtl w:val="0"/>
        </w:rPr>
        <w:t xml:space="preserve"> </w:t>
      </w:r>
    </w:p>
    <w:p w:rsidR="00000000" w:rsidDel="00000000" w:rsidP="00000000" w:rsidRDefault="00000000" w:rsidRPr="00000000" w14:paraId="00000029">
      <w:pPr>
        <w:ind w:left="716" w:right="0" w:firstLine="0"/>
        <w:rPr/>
      </w:pPr>
      <w:r w:rsidDel="00000000" w:rsidR="00000000" w:rsidRPr="00000000">
        <w:rPr>
          <w:rtl w:val="0"/>
        </w:rPr>
        <w:t xml:space="preserve">The team official providing the recommendation will be asked to score the student on the following scale: </w:t>
      </w:r>
    </w:p>
    <w:p w:rsidR="00000000" w:rsidDel="00000000" w:rsidP="00000000" w:rsidRDefault="00000000" w:rsidRPr="00000000" w14:paraId="0000002A">
      <w:pPr>
        <w:ind w:left="716" w:right="0" w:firstLine="0"/>
        <w:rPr/>
      </w:pPr>
      <w:r w:rsidDel="00000000" w:rsidR="00000000" w:rsidRPr="00000000">
        <w:rPr>
          <w:rtl w:val="0"/>
        </w:rPr>
        <w:t xml:space="preserve">Positive attitude – score on a scale of 50 </w:t>
      </w:r>
    </w:p>
    <w:p w:rsidR="00000000" w:rsidDel="00000000" w:rsidP="00000000" w:rsidRDefault="00000000" w:rsidRPr="00000000" w14:paraId="0000002B">
      <w:pPr>
        <w:ind w:left="716" w:right="0" w:firstLine="0"/>
        <w:rPr/>
      </w:pPr>
      <w:r w:rsidDel="00000000" w:rsidR="00000000" w:rsidRPr="00000000">
        <w:rPr>
          <w:rtl w:val="0"/>
        </w:rPr>
        <w:t xml:space="preserve">Sportsmanship – score on a scale of 50 </w:t>
      </w:r>
    </w:p>
    <w:p w:rsidR="00000000" w:rsidDel="00000000" w:rsidP="00000000" w:rsidRDefault="00000000" w:rsidRPr="00000000" w14:paraId="0000002C">
      <w:pPr>
        <w:pStyle w:val="Heading2"/>
        <w:ind w:left="716" w:firstLine="721"/>
        <w:rPr/>
      </w:pPr>
      <w:r w:rsidDel="00000000" w:rsidR="00000000" w:rsidRPr="00000000">
        <w:rPr>
          <w:rtl w:val="0"/>
        </w:rPr>
        <w:t xml:space="preserve">100 points maximum for this section – 25% of total score </w:t>
      </w:r>
    </w:p>
    <w:p w:rsidR="00000000" w:rsidDel="00000000" w:rsidP="00000000" w:rsidRDefault="00000000" w:rsidRPr="00000000" w14:paraId="0000002D">
      <w:pPr>
        <w:spacing w:after="0" w:line="259" w:lineRule="auto"/>
        <w:ind w:left="721"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E">
      <w:pPr>
        <w:spacing w:after="0" w:line="259" w:lineRule="auto"/>
        <w:ind w:left="721"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F">
      <w:pPr>
        <w:ind w:left="716" w:right="0" w:firstLine="0"/>
        <w:rPr/>
      </w:pPr>
      <w:r w:rsidDel="00000000" w:rsidR="00000000" w:rsidRPr="00000000">
        <w:rPr>
          <w:rtl w:val="0"/>
        </w:rPr>
        <w:t xml:space="preserve">In the event of a tie score the committee will vote by closed ballot to determine the recipient. </w:t>
      </w:r>
    </w:p>
    <w:p w:rsidR="00000000" w:rsidDel="00000000" w:rsidP="00000000" w:rsidRDefault="00000000" w:rsidRPr="00000000" w14:paraId="00000030">
      <w:pPr>
        <w:spacing w:after="0" w:line="259" w:lineRule="auto"/>
        <w:ind w:left="721"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31">
      <w:pPr>
        <w:spacing w:after="0" w:line="259" w:lineRule="auto"/>
        <w:ind w:left="721"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32">
      <w:pPr>
        <w:spacing w:after="0" w:line="259" w:lineRule="auto"/>
        <w:ind w:left="721" w:right="0"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33">
      <w:pPr>
        <w:spacing w:after="0" w:line="259" w:lineRule="auto"/>
        <w:ind w:left="721"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34">
      <w:pPr>
        <w:spacing w:after="0" w:line="383" w:lineRule="auto"/>
        <w:ind w:left="0" w:right="8585" w:firstLine="0"/>
        <w:jc w:val="left"/>
        <w:rPr/>
      </w:pPr>
      <w:r w:rsidDel="00000000" w:rsidR="00000000" w:rsidRPr="00000000">
        <w:rPr>
          <w:sz w:val="28"/>
          <w:szCs w:val="28"/>
          <w:rtl w:val="0"/>
        </w:rPr>
        <w:t xml:space="preserve">  </w:t>
      </w:r>
      <w:r w:rsidDel="00000000" w:rsidR="00000000" w:rsidRPr="00000000">
        <w:rPr>
          <w:rtl w:val="0"/>
        </w:rPr>
      </w:r>
    </w:p>
    <w:sectPr>
      <w:pgSz w:h="15840" w:w="12240" w:orient="portrait"/>
      <w:pgMar w:bottom="1490" w:top="1496" w:left="1441" w:right="143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Quattrocento Sa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1" w:hanging="721"/>
      </w:pPr>
      <w:rPr>
        <w:rFonts w:ascii="Calibri" w:cs="Calibri" w:eastAsia="Calibri" w:hAnsi="Calibri"/>
        <w:b w:val="0"/>
        <w:bCs w:val="0"/>
        <w:i w:val="0"/>
        <w:iCs w:val="0"/>
        <w:strike w:val="0"/>
        <w:color w:val="000000"/>
        <w:sz w:val="24"/>
        <w:szCs w:val="24"/>
        <w:u w:val="none"/>
        <w:shd w:fill="auto" w:val="clear"/>
        <w:vertAlign w:val="baseline"/>
      </w:rPr>
    </w:lvl>
    <w:lvl w:ilvl="1">
      <w:start w:val="1"/>
      <w:numFmt w:val="lowerLetter"/>
      <w:lvlText w:val="%2"/>
      <w:lvlJc w:val="left"/>
      <w:pPr>
        <w:ind w:left="1441" w:hanging="1441"/>
      </w:pPr>
      <w:rPr>
        <w:rFonts w:ascii="Calibri" w:cs="Calibri" w:eastAsia="Calibri" w:hAnsi="Calibri"/>
        <w:b w:val="0"/>
        <w:bCs w:val="0"/>
        <w:i w:val="0"/>
        <w:iCs w:val="0"/>
        <w:strike w:val="0"/>
        <w:color w:val="000000"/>
        <w:sz w:val="24"/>
        <w:szCs w:val="24"/>
        <w:u w:val="none"/>
        <w:shd w:fill="auto" w:val="clear"/>
        <w:vertAlign w:val="baseline"/>
      </w:rPr>
    </w:lvl>
    <w:lvl w:ilvl="2">
      <w:start w:val="1"/>
      <w:numFmt w:val="lowerRoman"/>
      <w:lvlText w:val="%3"/>
      <w:lvlJc w:val="left"/>
      <w:pPr>
        <w:ind w:left="2161" w:hanging="2161"/>
      </w:pPr>
      <w:rPr>
        <w:rFonts w:ascii="Calibri" w:cs="Calibri" w:eastAsia="Calibri" w:hAnsi="Calibri"/>
        <w:b w:val="0"/>
        <w:bCs w:val="0"/>
        <w:i w:val="0"/>
        <w:iCs w:val="0"/>
        <w:strike w:val="0"/>
        <w:color w:val="000000"/>
        <w:sz w:val="24"/>
        <w:szCs w:val="24"/>
        <w:u w:val="none"/>
        <w:shd w:fill="auto" w:val="clear"/>
        <w:vertAlign w:val="baseline"/>
      </w:rPr>
    </w:lvl>
    <w:lvl w:ilvl="3">
      <w:start w:val="1"/>
      <w:numFmt w:val="decimal"/>
      <w:lvlText w:val="%4"/>
      <w:lvlJc w:val="left"/>
      <w:pPr>
        <w:ind w:left="2881" w:hanging="2881"/>
      </w:pPr>
      <w:rPr>
        <w:rFonts w:ascii="Calibri" w:cs="Calibri" w:eastAsia="Calibri" w:hAnsi="Calibri"/>
        <w:b w:val="0"/>
        <w:bCs w:val="0"/>
        <w:i w:val="0"/>
        <w:iCs w:val="0"/>
        <w:strike w:val="0"/>
        <w:color w:val="000000"/>
        <w:sz w:val="24"/>
        <w:szCs w:val="24"/>
        <w:u w:val="none"/>
        <w:shd w:fill="auto" w:val="clear"/>
        <w:vertAlign w:val="baseline"/>
      </w:rPr>
    </w:lvl>
    <w:lvl w:ilvl="4">
      <w:start w:val="1"/>
      <w:numFmt w:val="lowerLetter"/>
      <w:lvlText w:val="%5"/>
      <w:lvlJc w:val="left"/>
      <w:pPr>
        <w:ind w:left="3601" w:hanging="3601"/>
      </w:pPr>
      <w:rPr>
        <w:rFonts w:ascii="Calibri" w:cs="Calibri" w:eastAsia="Calibri" w:hAnsi="Calibri"/>
        <w:b w:val="0"/>
        <w:bCs w:val="0"/>
        <w:i w:val="0"/>
        <w:iCs w:val="0"/>
        <w:strike w:val="0"/>
        <w:color w:val="000000"/>
        <w:sz w:val="24"/>
        <w:szCs w:val="24"/>
        <w:u w:val="none"/>
        <w:shd w:fill="auto" w:val="clear"/>
        <w:vertAlign w:val="baseline"/>
      </w:rPr>
    </w:lvl>
    <w:lvl w:ilvl="5">
      <w:start w:val="1"/>
      <w:numFmt w:val="lowerRoman"/>
      <w:lvlText w:val="%6"/>
      <w:lvlJc w:val="left"/>
      <w:pPr>
        <w:ind w:left="4321" w:hanging="4321"/>
      </w:pPr>
      <w:rPr>
        <w:rFonts w:ascii="Calibri" w:cs="Calibri" w:eastAsia="Calibri" w:hAnsi="Calibri"/>
        <w:b w:val="0"/>
        <w:bCs w:val="0"/>
        <w:i w:val="0"/>
        <w:iCs w:val="0"/>
        <w:strike w:val="0"/>
        <w:color w:val="000000"/>
        <w:sz w:val="24"/>
        <w:szCs w:val="24"/>
        <w:u w:val="none"/>
        <w:shd w:fill="auto" w:val="clear"/>
        <w:vertAlign w:val="baseline"/>
      </w:rPr>
    </w:lvl>
    <w:lvl w:ilvl="6">
      <w:start w:val="1"/>
      <w:numFmt w:val="decimal"/>
      <w:lvlText w:val="%7"/>
      <w:lvlJc w:val="left"/>
      <w:pPr>
        <w:ind w:left="5041" w:hanging="5041"/>
      </w:pPr>
      <w:rPr>
        <w:rFonts w:ascii="Calibri" w:cs="Calibri" w:eastAsia="Calibri" w:hAnsi="Calibri"/>
        <w:b w:val="0"/>
        <w:bCs w:val="0"/>
        <w:i w:val="0"/>
        <w:iCs w:val="0"/>
        <w:strike w:val="0"/>
        <w:color w:val="000000"/>
        <w:sz w:val="24"/>
        <w:szCs w:val="24"/>
        <w:u w:val="none"/>
        <w:shd w:fill="auto" w:val="clear"/>
        <w:vertAlign w:val="baseline"/>
      </w:rPr>
    </w:lvl>
    <w:lvl w:ilvl="7">
      <w:start w:val="1"/>
      <w:numFmt w:val="lowerLetter"/>
      <w:lvlText w:val="%8"/>
      <w:lvlJc w:val="left"/>
      <w:pPr>
        <w:ind w:left="5761" w:hanging="5761"/>
      </w:pPr>
      <w:rPr>
        <w:rFonts w:ascii="Calibri" w:cs="Calibri" w:eastAsia="Calibri" w:hAnsi="Calibri"/>
        <w:b w:val="0"/>
        <w:bCs w:val="0"/>
        <w:i w:val="0"/>
        <w:iCs w:val="0"/>
        <w:strike w:val="0"/>
        <w:color w:val="000000"/>
        <w:sz w:val="24"/>
        <w:szCs w:val="24"/>
        <w:u w:val="none"/>
        <w:shd w:fill="auto" w:val="clear"/>
        <w:vertAlign w:val="baseline"/>
      </w:rPr>
    </w:lvl>
    <w:lvl w:ilvl="8">
      <w:start w:val="1"/>
      <w:numFmt w:val="lowerRoman"/>
      <w:lvlText w:val="%9"/>
      <w:lvlJc w:val="left"/>
      <w:pPr>
        <w:ind w:left="6481" w:hanging="6481"/>
      </w:pPr>
      <w:rPr>
        <w:rFonts w:ascii="Calibri" w:cs="Calibri" w:eastAsia="Calibri" w:hAnsi="Calibri"/>
        <w:b w:val="0"/>
        <w:bCs w:val="0"/>
        <w:i w:val="0"/>
        <w:iCs w:val="0"/>
        <w:strike w:val="0"/>
        <w:color w:val="000000"/>
        <w:sz w:val="24"/>
        <w:szCs w:val="24"/>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0" w:line="249" w:lineRule="auto"/>
        <w:ind w:left="10" w:right="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71" w:before="0" w:line="259" w:lineRule="auto"/>
      <w:ind w:left="10" w:right="14" w:hanging="10"/>
      <w:jc w:val="center"/>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1" w:right="0" w:hanging="1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